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Ecologia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Accertamento rispetto limiti emissioni sonore per pubblici esercizi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richiesta da parte di un privato per l'accertamento rispetto ai limiti di emissioni sonore per pubblici esercizi.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447/1995 - Legge quadro sull'inquinamento acustico - D.P.C.M. 14 novembre 1997 - Determinazione dei valori limite delle sorgenti sonore - D.Lgs. 267/2000 T.U.E.L. - Legge regionale - Regolamento di attuazione del Piano comunale di Zonizzazione Acustica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Modulo per la presentazione dell'istanza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Ecologia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dallo statuto o dai regolamenti comunali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opposizione entro 30 giorni al Tribunale civile competente o al Giudice di Pace in relazione alla natura della sanzione da impugnare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